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6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               </w:t>
      </w:r>
      <w:r>
        <w:rPr>
          <w:rFonts w:ascii="Times New Roman" w:hAnsi="Times New Roman" w:eastAsia="Calibri" w:cs="Times New Roman"/>
          <w:b/>
          <w:noProof/>
          <w:lang w:eastAsia="hr-HR"/>
        </w:rPr>
        <w:drawing>
          <wp:inline>
            <wp:extent cx="475615" cy="560705"/>
            <wp:effectExtent xmlns:wp="http://schemas.openxmlformats.org/drawingml/2006/wordprocessingDrawing" l="0" t="0" r="63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b/>
        </w:rPr>
        <w:t xml:space="preserve">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 w:line="256" w:lineRule="auto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REPUBLIKA HRVATSKA</w:t>
            </w:r>
          </w:p>
          <w:p>
            <w:pPr>
              <w:spacing w:line="25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DJEČJI VRTIĆ BIOKOVSKE PČELICE</w:t>
            </w:r>
            <w:r>
              <w:rPr>
                <w:rFonts w:ascii="Times New Roman" w:hAnsi="Times New Roman" w:eastAsia="Calibri" w:cs="Times New Roman"/>
                <w:b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 w:eastAsia="Calibri" w:cs="Times New Roman"/>
              </w:rPr>
              <w:t xml:space="preserve">Ulica Franje Tuđmana 26, 21270 </w:t>
            </w:r>
            <w:r>
              <w:rPr>
                <w:rFonts w:ascii="Times New Roman" w:hAnsi="Times New Roman" w:eastAsia="Calibri" w:cs="Times New Roman"/>
              </w:rPr>
              <w:t xml:space="preserve">Zagvozd</w:t>
            </w:r>
          </w:p>
          <w:p>
            <w:pPr>
              <w:spacing w:line="25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KLASA: </w:t>
            </w:r>
            <w:r>
              <w:rPr>
                <w:rFonts w:ascii="Times New Roman" w:hAnsi="Times New Roman" w:eastAsia="Calibri" w:cs="Times New Roman"/>
                <w:noProof/>
                <w:lang w:val="en-US"/>
              </w:rPr>
              <w:t xml:space="preserve">008-03/26-01/1</w:t>
            </w:r>
            <w:r>
              <w:rPr>
                <w:rFonts w:ascii="Times New Roman" w:hAnsi="Times New Roman" w:eastAsia="Calibri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2181-54-1-26-1</w:t>
            </w:r>
            <w:r>
              <w:rPr>
                <w:rFonts w:ascii="Times New Roman" w:hAnsi="Times New Roman" w:eastAsia="Calibri" w:cs="Times New Roman"/>
              </w:rPr>
              <w:t xml:space="preserve">                                       </w:t>
            </w:r>
          </w:p>
          <w:p>
            <w:pPr>
              <w:spacing w:line="256" w:lineRule="auto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Zagvozd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</w:rPr>
              <w:t xml:space="preserve">22</w:t>
            </w:r>
            <w:r>
              <w:rPr>
                <w:rFonts w:ascii="Times New Roman" w:hAnsi="Times New Roman" w:eastAsia="Calibri" w:cs="Times New Roman"/>
              </w:rPr>
              <w:t xml:space="preserve">. rujna 2026</w:t>
            </w:r>
            <w:r>
              <w:rPr>
                <w:rFonts w:ascii="Times New Roman" w:hAnsi="Times New Roman" w:eastAsia="Calibri" w:cs="Times New Roman"/>
              </w:rPr>
              <w:t xml:space="preserve">. </w:t>
            </w:r>
            <w:r>
              <w:rPr>
                <w:rFonts w:ascii="Times New Roman" w:hAnsi="Times New Roman" w:eastAsia="Calibri" w:cs="Times New Roman"/>
              </w:rPr>
              <w:t xml:space="preserve">godine</w:t>
            </w:r>
            <w:r>
              <w:rPr>
                <w:rFonts w:ascii="Times New Roman" w:hAnsi="Times New Roman" w:eastAsia="Calibri" w:cs="Times New Roman"/>
              </w:rPr>
              <w:t xml:space="preserve"> </w:t>
            </w:r>
          </w:p>
        </w:tc>
        <w:tc>
          <w:tcPr>
            <w:tcW w:type="dxa" w:w="2693"/>
            <w:tcBorders/>
            <w:hideMark/>
          </w:tcPr>
          <w:p>
            <w:pPr>
              <w:spacing w:line="256" w:lineRule="auto"/>
              <w:jc w:val="right"/>
              <w:rPr>
                <w:rFonts w:ascii="Times New Roman" w:hAnsi="Times New Roman" w:eastAsia="Calibri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11. Zakona o pravu na pristup informacijama („Narodne novine“, broj 2</w:t>
      </w:r>
      <w:r>
        <w:rPr>
          <w:rFonts w:ascii="Arial" w:hAnsi="Arial" w:cs="Arial"/>
        </w:rPr>
        <w:t xml:space="preserve">5/1</w:t>
      </w:r>
      <w:r>
        <w:rPr>
          <w:rFonts w:ascii="Arial" w:hAnsi="Arial" w:cs="Arial"/>
        </w:rPr>
        <w:t xml:space="preserve">3, 85/15 i 69/22</w:t>
      </w:r>
      <w:r>
        <w:rPr>
          <w:rFonts w:ascii="Arial" w:hAnsi="Arial" w:cs="Arial"/>
        </w:rPr>
        <w:t xml:space="preserve">, dalje u tekstu Zakon o </w:t>
      </w:r>
      <w:r>
        <w:rPr>
          <w:rFonts w:ascii="Arial" w:hAnsi="Arial" w:cs="Arial"/>
        </w:rPr>
        <w:t xml:space="preserve">pravu na pristup informacijama ili Zakon),</w:t>
      </w:r>
      <w:r>
        <w:rPr>
          <w:rFonts w:ascii="Arial" w:hAnsi="Arial" w:cs="Arial"/>
        </w:rPr>
        <w:t xml:space="preserve"> članka </w:t>
      </w:r>
      <w:r>
        <w:rPr>
          <w:rFonts w:ascii="Arial" w:hAnsi="Arial" w:cs="Arial"/>
        </w:rPr>
        <w:t xml:space="preserve">45</w:t>
      </w:r>
      <w:r>
        <w:rPr>
          <w:rFonts w:ascii="Arial" w:hAnsi="Arial" w:cs="Arial"/>
        </w:rPr>
        <w:t xml:space="preserve">. Statut</w:t>
      </w:r>
      <w:r>
        <w:rPr>
          <w:rFonts w:ascii="Arial" w:hAnsi="Arial" w:cs="Arial"/>
        </w:rPr>
        <w:t xml:space="preserve">a Dječj</w:t>
      </w:r>
      <w:r>
        <w:rPr>
          <w:rFonts w:ascii="Arial" w:hAnsi="Arial" w:cs="Arial"/>
        </w:rPr>
        <w:t xml:space="preserve">eg vrtića Biokovske pčelice</w:t>
      </w:r>
      <w:r>
        <w:rPr>
          <w:rFonts w:ascii="Arial" w:hAnsi="Arial" w:cs="Arial"/>
        </w:rPr>
        <w:t xml:space="preserve"> te Odluke Upravnog vijeć</w:t>
      </w:r>
      <w:r>
        <w:rPr>
          <w:rFonts w:ascii="Arial" w:hAnsi="Arial" w:cs="Arial"/>
        </w:rPr>
        <w:t xml:space="preserve">a Dječjeg vrtića Biokovske pčelice</w:t>
      </w:r>
      <w:r>
        <w:rPr>
          <w:rFonts w:ascii="Arial" w:hAnsi="Arial" w:cs="Arial"/>
        </w:rPr>
        <w:t xml:space="preserve"> donesene</w:t>
      </w:r>
      <w:bookmarkStart w:id="2" w:name="_GoBack"/>
      <w:bookmarkEnd w:id="2"/>
      <w:r>
        <w:rPr>
          <w:rFonts w:ascii="Arial" w:hAnsi="Arial" w:cs="Arial"/>
        </w:rPr>
        <w:t xml:space="preserve"> na 2. sjed</w:t>
      </w:r>
      <w:r>
        <w:rPr>
          <w:rFonts w:ascii="Arial" w:hAnsi="Arial" w:cs="Arial"/>
        </w:rPr>
        <w:t xml:space="preserve">nici Upravnog vijeća održanoj 17. rujna</w:t>
      </w:r>
      <w:r>
        <w:rPr>
          <w:rFonts w:ascii="Arial" w:hAnsi="Arial" w:cs="Arial"/>
        </w:rPr>
        <w:t xml:space="preserve"> 2026. godine</w:t>
      </w:r>
      <w:r>
        <w:rPr>
          <w:rFonts w:ascii="Arial" w:hAnsi="Arial" w:cs="Arial"/>
        </w:rPr>
        <w:t xml:space="preserve">,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privremena</w:t>
      </w:r>
      <w:r>
        <w:rPr>
          <w:rFonts w:ascii="Arial" w:hAnsi="Arial" w:cs="Arial"/>
        </w:rPr>
        <w:t xml:space="preserve"> ravnatelj</w:t>
      </w:r>
      <w:r>
        <w:rPr>
          <w:rFonts w:ascii="Arial" w:hAnsi="Arial" w:cs="Arial"/>
        </w:rPr>
        <w:t xml:space="preserve">ica</w:t>
      </w:r>
      <w:r>
        <w:rPr>
          <w:rFonts w:ascii="Arial" w:hAnsi="Arial" w:cs="Arial"/>
        </w:rPr>
        <w:t xml:space="preserve"> Dje</w:t>
      </w:r>
      <w:r>
        <w:rPr>
          <w:rFonts w:ascii="Arial" w:hAnsi="Arial" w:cs="Arial"/>
        </w:rPr>
        <w:t xml:space="preserve">čjeg vrtića Biokovske pčelice</w:t>
      </w:r>
      <w:r>
        <w:rPr>
          <w:rFonts w:ascii="Arial" w:hAnsi="Arial" w:cs="Arial"/>
        </w:rPr>
        <w:t xml:space="preserve"> donosi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ODLUKU</w:t>
      </w: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provedbi savjetovanja s javnošću o N</w:t>
      </w:r>
      <w:r>
        <w:rPr>
          <w:rFonts w:ascii="Arial" w:hAnsi="Arial" w:cs="Arial"/>
          <w:b/>
        </w:rPr>
        <w:t xml:space="preserve">acrtu Pravilnika o upisu djece u</w:t>
      </w:r>
      <w:r>
        <w:rPr>
          <w:rFonts w:ascii="Arial" w:hAnsi="Arial" w:cs="Arial"/>
          <w:b/>
        </w:rPr>
        <w:t xml:space="preserve"> Dje</w:t>
      </w:r>
      <w:r>
        <w:rPr>
          <w:rFonts w:ascii="Arial" w:hAnsi="Arial" w:cs="Arial"/>
          <w:b/>
        </w:rPr>
        <w:t xml:space="preserve">čji vrtić</w:t>
      </w:r>
      <w:r>
        <w:rPr>
          <w:rFonts w:ascii="Arial" w:hAnsi="Arial" w:cs="Arial"/>
          <w:b/>
        </w:rPr>
        <w:t xml:space="preserve"> Biokovske pčelice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Članak 1.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Pokreće se postupak savjetovanja s javnošću o nacrtu Pravilnika o upisu djece u D</w:t>
      </w:r>
      <w:r>
        <w:rPr>
          <w:rFonts w:ascii="Arial" w:hAnsi="Arial" w:cs="Arial"/>
        </w:rPr>
        <w:t xml:space="preserve">ječji vrtić Biokovske pčelice</w:t>
      </w:r>
      <w:r>
        <w:rPr>
          <w:rFonts w:ascii="Arial" w:hAnsi="Arial" w:cs="Arial"/>
        </w:rPr>
        <w:t xml:space="preserve"> (dalje: Pravilnik). 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</w:t>
      </w:r>
      <w:r>
        <w:rPr>
          <w:rFonts w:ascii="Arial" w:hAnsi="Arial" w:cs="Arial"/>
        </w:rPr>
        <w:t xml:space="preserve">acrt Pravilnika objavit će se </w:t>
      </w:r>
      <w:r>
        <w:rPr>
          <w:rFonts w:ascii="Arial" w:hAnsi="Arial" w:cs="Arial"/>
        </w:rPr>
        <w:t xml:space="preserve">22. rujna</w:t>
      </w:r>
      <w:r>
        <w:rPr>
          <w:rFonts w:ascii="Arial" w:hAnsi="Arial" w:cs="Arial"/>
        </w:rPr>
        <w:t xml:space="preserve"> 2026. </w:t>
      </w:r>
      <w:r>
        <w:rPr>
          <w:rFonts w:ascii="Arial" w:hAnsi="Arial" w:cs="Arial"/>
        </w:rPr>
        <w:t xml:space="preserve">godine na sl</w:t>
      </w:r>
      <w:r>
        <w:rPr>
          <w:rFonts w:ascii="Arial" w:hAnsi="Arial" w:cs="Arial"/>
        </w:rPr>
        <w:t xml:space="preserve">užbenoj mrežnoj stranici vrtića</w:t>
      </w:r>
      <w:r>
        <w:rPr>
          <w:rFonts w:ascii="Arial" w:hAnsi="Arial" w:cs="Arial"/>
        </w:rPr>
        <w:t xml:space="preserve">,</w:t>
      </w:r>
      <w:r>
        <w:rPr>
          <w:rFonts w:ascii="Arial" w:hAnsi="Arial" w:cs="Arial"/>
        </w:rPr>
        <w:t xml:space="preserve"> zajedno s obrazloženjem razloga i ciljeva koji se žele postići njegovim donošenjem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Članak 2.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Savjetovanje s javn</w:t>
      </w:r>
      <w:r>
        <w:rPr>
          <w:rFonts w:ascii="Arial" w:hAnsi="Arial" w:cs="Arial"/>
        </w:rPr>
        <w:t xml:space="preserve">ošću prov</w:t>
      </w:r>
      <w:r>
        <w:rPr>
          <w:rFonts w:ascii="Arial" w:hAnsi="Arial" w:cs="Arial"/>
        </w:rPr>
        <w:t xml:space="preserve">odi se u razdoblju od </w:t>
      </w:r>
      <w:r>
        <w:rPr>
          <w:rFonts w:ascii="Arial" w:hAnsi="Arial" w:cs="Arial"/>
        </w:rPr>
        <w:t xml:space="preserve">23</w:t>
      </w:r>
      <w:r>
        <w:rPr>
          <w:rFonts w:ascii="Arial" w:hAnsi="Arial" w:cs="Arial"/>
        </w:rPr>
        <w:t xml:space="preserve">. rujna</w:t>
      </w:r>
      <w:r>
        <w:rPr>
          <w:rFonts w:ascii="Arial" w:hAnsi="Arial" w:cs="Arial"/>
        </w:rPr>
        <w:t xml:space="preserve"> 2026. godine do </w:t>
      </w:r>
      <w:r>
        <w:rPr>
          <w:rFonts w:ascii="Arial" w:hAnsi="Arial" w:cs="Arial"/>
        </w:rPr>
        <w:t xml:space="preserve">2</w:t>
      </w:r>
      <w:r>
        <w:rPr>
          <w:rFonts w:ascii="Arial" w:hAnsi="Arial" w:cs="Arial"/>
        </w:rPr>
        <w:t xml:space="preserve">. listopada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2026.</w:t>
      </w:r>
      <w:r>
        <w:rPr>
          <w:rFonts w:ascii="Arial" w:hAnsi="Arial" w:cs="Arial"/>
        </w:rPr>
        <w:t xml:space="preserve"> godine.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Zainteresirana javnost može dostaviti svoja mišljenja, prijedloge i </w:t>
      </w:r>
      <w:r>
        <w:rPr>
          <w:rFonts w:ascii="Arial" w:hAnsi="Arial" w:cs="Arial"/>
        </w:rPr>
        <w:t xml:space="preserve">primjedbe najkasnije </w:t>
      </w:r>
      <w:r>
        <w:rPr>
          <w:rFonts w:ascii="Arial" w:hAnsi="Arial" w:cs="Arial"/>
        </w:rPr>
        <w:t xml:space="preserve">do 2</w:t>
      </w:r>
      <w:r>
        <w:rPr>
          <w:rFonts w:ascii="Arial" w:hAnsi="Arial" w:cs="Arial"/>
        </w:rPr>
        <w:t xml:space="preserve">. listopada</w:t>
      </w:r>
      <w:r>
        <w:rPr>
          <w:rFonts w:ascii="Arial" w:hAnsi="Arial" w:cs="Arial"/>
        </w:rPr>
        <w:t xml:space="preserve"> 2026. godine: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elektroničkom poštom: </w:t>
      </w:r>
      <w:r>
        <w:rPr/>
        <w:fldChar w:fldCharType="begin"/>
      </w:r>
      <w:r>
        <w:rPr/>
        <w:instrText xml:space="preserve">HYPERLINK "mailto:info@zagvozd.hr" </w:instrText>
      </w:r>
      <w:r>
        <w:rPr/>
        <w:fldChar w:fldCharType="separate"/>
      </w:r>
      <w:r>
        <w:rPr>
          <w:rStyle w:val="Hiperveza"/>
          <w:rFonts w:ascii="Arial" w:hAnsi="Arial" w:cs="Arial"/>
        </w:rPr>
        <w:t xml:space="preserve">info@zagvozd.hr</w:t>
      </w:r>
      <w:r>
        <w:rPr/>
        <w:fldChar w:fldCharType="end"/>
      </w:r>
      <w:r>
        <w:rPr>
          <w:rFonts w:ascii="Arial" w:hAnsi="Arial" w:cs="Arial"/>
        </w:rPr>
        <w:t xml:space="preserve"> 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poštom</w:t>
      </w:r>
      <w:r>
        <w:rPr>
          <w:rFonts w:ascii="Arial" w:hAnsi="Arial" w:cs="Arial"/>
        </w:rPr>
        <w:t xml:space="preserve">: Općina </w:t>
      </w:r>
      <w:r>
        <w:rPr>
          <w:rFonts w:ascii="Arial" w:hAnsi="Arial" w:cs="Arial"/>
        </w:rPr>
        <w:t xml:space="preserve">Zagvozd</w:t>
      </w:r>
      <w:r>
        <w:rPr>
          <w:rFonts w:ascii="Arial" w:hAnsi="Arial" w:cs="Arial"/>
        </w:rPr>
        <w:t xml:space="preserve">, Ulica Franje Tuđmana 65</w:t>
      </w:r>
      <w:r>
        <w:rPr>
          <w:rFonts w:ascii="Arial" w:hAnsi="Arial" w:cs="Arial"/>
        </w:rPr>
        <w:t xml:space="preserve">, 21270 </w:t>
      </w:r>
      <w:r>
        <w:rPr>
          <w:rFonts w:ascii="Arial" w:hAnsi="Arial" w:cs="Arial"/>
        </w:rPr>
        <w:t xml:space="preserve">Zagvozd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osobno u sjedište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Općine.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Članak 3.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isteku roka iz članka 2. ove Odluke izradit će se izvješće o provedenom savjetovanju s javnošću koje će sadržavati pregled zaprimljenih prijedloga i primjedbi te očitovanja o njihovom prihvaćanju ili neprihvaćanju, uz obrazloženje.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Izvješće iz stavka 1. ovoga članka objavit će se na </w:t>
      </w:r>
      <w:r>
        <w:rPr>
          <w:rFonts w:ascii="Arial" w:hAnsi="Arial" w:cs="Arial"/>
        </w:rPr>
        <w:t xml:space="preserve">službenoj mrežnoj stranici Vrtića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provedbi savjetovanja s javnošću, prijedlog Praviln</w:t>
      </w:r>
      <w:r>
        <w:rPr>
          <w:rFonts w:ascii="Arial" w:hAnsi="Arial" w:cs="Arial"/>
        </w:rPr>
        <w:t xml:space="preserve">ika uputit će se Upravnom vijeću</w:t>
      </w:r>
      <w:r>
        <w:rPr>
          <w:rFonts w:ascii="Arial" w:hAnsi="Arial" w:cs="Arial"/>
        </w:rPr>
        <w:t xml:space="preserve"> na donošenje.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Obrazloženje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Upravno vijeće Dje</w:t>
      </w:r>
      <w:r>
        <w:rPr>
          <w:rFonts w:ascii="Arial" w:hAnsi="Arial" w:cs="Arial"/>
        </w:rPr>
        <w:t xml:space="preserve">čjeg vrtića Biokovske pčelice </w:t>
      </w:r>
      <w:r>
        <w:rPr>
          <w:rFonts w:ascii="Arial" w:hAnsi="Arial" w:cs="Arial"/>
        </w:rPr>
        <w:t xml:space="preserve">na 2</w:t>
      </w:r>
      <w:r>
        <w:rPr>
          <w:rFonts w:ascii="Arial" w:hAnsi="Arial" w:cs="Arial"/>
        </w:rPr>
        <w:t xml:space="preserve"> sjednici utvrdilo je nacrt Pravilnika o </w:t>
      </w:r>
      <w:r>
        <w:rPr>
          <w:rFonts w:ascii="Arial" w:hAnsi="Arial" w:cs="Arial"/>
        </w:rPr>
        <w:t xml:space="preserve">upisu djec</w:t>
      </w:r>
      <w:r>
        <w:rPr>
          <w:rFonts w:ascii="Arial" w:hAnsi="Arial" w:cs="Arial"/>
        </w:rPr>
        <w:t xml:space="preserve">e u Dječji vrtić Biokovske pčelice</w:t>
      </w:r>
      <w:r>
        <w:rPr>
          <w:rFonts w:ascii="Arial" w:hAnsi="Arial" w:cs="Arial"/>
        </w:rPr>
        <w:t xml:space="preserve"> te zaključilo da predmetni akt, s obzirom na svoju pravnu narav, predstavlja opći akt kojim se uređuju uvjeti, mjerila, kriteriji i postupak upisa </w:t>
      </w:r>
      <w:r>
        <w:rPr>
          <w:rFonts w:ascii="Arial" w:hAnsi="Arial" w:cs="Arial"/>
        </w:rPr>
        <w:t xml:space="preserve">djece, a koji se primjenjuje na unaprijed neodređen, ali odrediv krug korisnika i neposredno utječe na prava i interese roditelja, skrbnika i djece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Sukladno članku 11. Zakona o pravu na pristup informacijama, za donošenje takvih akata postoji obveza provedbe savjetovanja s javnošću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Nacrt Pravilnika izrađen je radi uspostave normativnog okvira za provedbu u</w:t>
      </w:r>
      <w:r>
        <w:rPr>
          <w:rFonts w:ascii="Arial" w:hAnsi="Arial" w:cs="Arial"/>
        </w:rPr>
        <w:t xml:space="preserve">pisa dje</w:t>
      </w:r>
      <w:r>
        <w:rPr>
          <w:rFonts w:ascii="Arial" w:hAnsi="Arial" w:cs="Arial"/>
        </w:rPr>
        <w:t xml:space="preserve">ce u Dječji vrtić Biokovske pčelice</w:t>
      </w:r>
      <w:r>
        <w:rPr>
          <w:rFonts w:ascii="Arial" w:hAnsi="Arial" w:cs="Arial"/>
        </w:rPr>
        <w:t xml:space="preserve">, kao novoosnovanu ustanovu, te radi usklađivanja postupka upisa s važećim zakonskim okvirom, uključujući izmjene i dopune Zakona o predškolskom odgoju i obrazovanju koje su stupile na snagu sredinom mjeseca ožujka 2026. godine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Izrada nacrta Pravilnika zahtijevala je dodatno vrijeme zbog potrebe njegove stručne, cjelovite i normativno precizne razrade. Naime, Pravilnikom se uređuje cjelokupan postupak upisa djece, uključujući uvjete upisa, mjerila i kriterije, bodovanje, redoslijed razmatranja prijava, listu reda prvenstva, pravnu zaštitu korisnika, upis tijekom godine, ispis djece i druga pitanja važna za korištenje usluga Vrtića, zbog čega njegove odredbe imaju izravan utjecaj na zakonitost i pravilnost provedbe postupka upisa. Slijedom navedenog, izradi nacrta nije bilo moguće pristupiti na ubrzan ili formalistički način, već je ista zahtijevala pažljivo i odgovorno normativno oblikovanje, uzimajući u obzir pravne implikacije i moguće posljedice njegove primjene u praksi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Upravno vijeće utvrdilo je nacrt Pravilnika te ga uputilo u savjetovanje s javnošću i Osnivaču radi davanja prethodne suglasnosti, odnosno radi odgovarajućeg odlučivanja u dijelu koji se odnosi na mjerila upisa, kriterije bodovanja i druga pitanja iz nadležnosti Osnivača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Donošenje Pravilnika uključuje zakonom i općim aktima propisan postupak koji obuhvaća utvrđivanje nacrta, provedbu savjetovanja s javnošću, pribavljanje prethodne suglasnosti odnosno odgovarajuće odlučivanje Osnivača te ponovno odlučivanje Upravnog vijeća o donošenju Pravilnika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Pravilnik je neposredno vezan uz pripremu i provedbu upisa djece u D</w:t>
      </w:r>
      <w:r>
        <w:rPr>
          <w:rFonts w:ascii="Arial" w:hAnsi="Arial" w:cs="Arial"/>
        </w:rPr>
        <w:t xml:space="preserve">ječji vrtić Biokovske pčelice</w:t>
      </w:r>
      <w:r>
        <w:rPr>
          <w:rFonts w:ascii="Arial" w:hAnsi="Arial" w:cs="Arial"/>
        </w:rPr>
        <w:t xml:space="preserve"> za pedagošku godinu 2026./2027., kao i uz osiguranje zakonitog početka rada novoosnovane ustanove. Provođenje savjetovanja u trajanju od 30 dana onemogućilo bi pravodobno donošenje Pravilnika i dovelo u pitanje pravodobnu i zakonitu provedbu upisnog postupka te daljnje radnje potrebne za početak rada Vrtića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Slijedom navedenog, ocijenjeno je da u konkretnom slučaju postoje objektivni i opravdani razlozi za provedbu savjetovanja u kraćem roku, budući da se radi o potrebi uspostave normativnog okvira novoosnovane ustanove, zakonskoj obvezi usklađenja akta, vremenski ograničenom postupku koji uključuje više faza odlučivanja te nužnosti osiguranja pravne sigurnosti i zakonitog početka pružanja javne usluge</w:t>
      </w:r>
      <w:r>
        <w:rPr>
          <w:rFonts w:ascii="Arial" w:hAnsi="Arial" w:cs="Arial"/>
        </w:rPr>
        <w:t xml:space="preserve">.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jc w:val="both"/>
        <w:rPr>
          <w:rFonts w:ascii="Arial" w:hAnsi="Arial" w:cs="Arial"/>
        </w:rPr>
      </w:pPr>
    </w:p>
    <w:p>
      <w:pPr>
        <w:spacing w:after="5" w:line="276" w:lineRule="auto"/>
        <w:ind w:left="10" w:hanging="10"/>
        <w:jc w:val="both"/>
        <w:rPr>
          <w:rFonts w:ascii="Arial" w:hAnsi="Arial" w:eastAsia="Times New Roman" w:cs="Arial"/>
          <w:color w:val="000000"/>
          <w:lang w:eastAsia="hr-HR"/>
        </w:rPr>
      </w:pPr>
      <w:r>
        <w:rPr>
          <w:rFonts w:ascii="Arial" w:hAnsi="Arial" w:eastAsia="Times New Roman" w:cs="Arial"/>
          <w:color w:val="000000"/>
          <w:lang w:eastAsia="hr-HR"/>
        </w:rPr>
        <w:t xml:space="preserve">                                                         </w:t>
      </w:r>
      <w:r>
        <w:rPr>
          <w:rFonts w:ascii="Arial" w:hAnsi="Arial" w:eastAsia="Times New Roman" w:cs="Arial"/>
          <w:color w:val="000000"/>
          <w:lang w:eastAsia="hr-HR"/>
        </w:rPr>
        <w:t xml:space="preserve">      </w:t>
      </w:r>
      <w:r>
        <w:rPr>
          <w:rFonts w:ascii="Arial" w:hAnsi="Arial" w:eastAsia="Times New Roman" w:cs="Arial"/>
          <w:color w:val="000000"/>
          <w:lang w:eastAsia="hr-HR"/>
        </w:rPr>
        <w:t xml:space="preserve"> </w:t>
      </w:r>
      <w:r>
        <w:rPr>
          <w:rFonts w:ascii="Arial" w:hAnsi="Arial" w:eastAsia="Times New Roman" w:cs="Arial"/>
          <w:color w:val="000000"/>
          <w:lang w:eastAsia="hr-HR"/>
        </w:rPr>
        <w:t xml:space="preserve">  </w:t>
      </w:r>
      <w:r>
        <w:rPr>
          <w:rFonts w:ascii="Arial" w:hAnsi="Arial" w:eastAsia="Calibri" w:cs="Arial"/>
          <w:b/>
        </w:rPr>
        <w:t xml:space="preserve">D</w:t>
      </w:r>
      <w:r>
        <w:rPr>
          <w:rFonts w:ascii="Arial" w:hAnsi="Arial" w:eastAsia="Calibri" w:cs="Arial"/>
          <w:b/>
        </w:rPr>
        <w:t xml:space="preserve">JEČJI VRTIĆ</w:t>
      </w:r>
      <w:r>
        <w:rPr>
          <w:rFonts w:ascii="Arial" w:hAnsi="Arial" w:eastAsia="Calibri" w:cs="Arial"/>
          <w:b/>
        </w:rPr>
        <w:t xml:space="preserve"> BIOKOVSKE PČELICE</w:t>
      </w:r>
    </w:p>
    <w:p>
      <w:pPr>
        <w:spacing w:after="5" w:line="276" w:lineRule="auto"/>
        <w:ind w:left="-5" w:right="486" w:hanging="10"/>
        <w:jc w:val="both"/>
        <w:rPr>
          <w:rFonts w:ascii="Arial" w:hAnsi="Arial" w:eastAsia="Times New Roman" w:cs="Arial"/>
          <w:color w:val="000000"/>
          <w:lang w:eastAsia="hr-HR"/>
        </w:rPr>
      </w:pPr>
      <w:r>
        <w:rPr>
          <w:rFonts w:ascii="Arial" w:hAnsi="Arial" w:eastAsia="Times New Roman" w:cs="Arial"/>
          <w:b/>
          <w:color w:val="000000"/>
          <w:lang w:eastAsia="hr-HR"/>
        </w:rPr>
        <w:t xml:space="preserve">                                               </w:t>
      </w:r>
      <w:r>
        <w:rPr>
          <w:rFonts w:ascii="Arial" w:hAnsi="Arial" w:eastAsia="Times New Roman" w:cs="Arial"/>
          <w:b/>
          <w:color w:val="000000"/>
          <w:lang w:eastAsia="hr-HR"/>
        </w:rPr>
        <w:t xml:space="preserve">         </w:t>
      </w:r>
      <w:r>
        <w:rPr>
          <w:rFonts w:ascii="Arial" w:hAnsi="Arial" w:eastAsia="Times New Roman" w:cs="Arial"/>
          <w:b/>
          <w:color w:val="000000"/>
          <w:lang w:eastAsia="hr-HR"/>
        </w:rPr>
        <w:t xml:space="preserve"> </w:t>
      </w:r>
      <w:r>
        <w:rPr>
          <w:rFonts w:ascii="Arial" w:hAnsi="Arial" w:eastAsia="Times New Roman" w:cs="Arial"/>
          <w:color w:val="000000"/>
          <w:lang w:eastAsia="hr-HR"/>
        </w:rPr>
        <w:t xml:space="preserve">PRIVREMENA</w:t>
      </w:r>
      <w:r>
        <w:rPr>
          <w:rFonts w:ascii="Arial" w:hAnsi="Arial" w:eastAsia="Times New Roman" w:cs="Arial"/>
          <w:color w:val="000000"/>
          <w:lang w:eastAsia="hr-HR"/>
        </w:rPr>
        <w:t xml:space="preserve"> RAVNATELJ</w:t>
      </w:r>
      <w:r>
        <w:rPr>
          <w:rFonts w:ascii="Arial" w:hAnsi="Arial" w:eastAsia="Times New Roman" w:cs="Arial"/>
          <w:color w:val="000000"/>
          <w:lang w:eastAsia="hr-HR"/>
        </w:rPr>
        <w:t xml:space="preserve">ICA: Antonela Filipović</w:t>
      </w:r>
      <w:r>
        <w:rPr>
          <w:rFonts w:ascii="Arial" w:hAnsi="Arial" w:eastAsia="Times New Roman" w:cs="Arial"/>
          <w:color w:val="000000"/>
          <w:lang w:eastAsia="hr-HR"/>
        </w:rPr>
        <w:t xml:space="preserve">                                                                                         </w:t>
      </w:r>
    </w:p>
    <w:p>
      <w:pPr>
        <w:spacing w:after="14" w:line="276" w:lineRule="auto"/>
        <w:jc w:val="right"/>
        <w:rPr>
          <w:rFonts w:ascii="Arial" w:hAnsi="Arial" w:eastAsia="Times New Roman" w:cs="Arial"/>
          <w:color w:val="000000"/>
          <w:lang w:eastAsia="hr-HR"/>
        </w:rPr>
      </w:pPr>
      <w:r>
        <w:rPr>
          <w:rFonts w:ascii="Arial" w:hAnsi="Arial" w:eastAsia="Times New Roman" w:cs="Arial"/>
          <w:color w:val="000000"/>
          <w:lang w:eastAsia="hr-HR"/>
        </w:rPr>
        <w:t xml:space="preserve"> </w:t>
      </w:r>
    </w:p>
    <w:p>
      <w:pPr>
        <w:spacing w:after="0" w:line="276" w:lineRule="auto"/>
        <w:rPr>
          <w:rFonts w:ascii="Arial" w:hAnsi="Arial" w:cs="Arial"/>
        </w:rPr>
      </w:pP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Dostaviti: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</w:t>
      </w:r>
      <w:r>
        <w:rPr>
          <w:rFonts w:ascii="Arial" w:hAnsi="Arial" w:cs="Arial"/>
        </w:rPr>
        <w:t xml:space="preserve">. Objava na </w:t>
      </w:r>
      <w:r>
        <w:rPr>
          <w:rFonts w:ascii="Arial" w:hAnsi="Arial" w:cs="Arial"/>
        </w:rPr>
        <w:t xml:space="preserve">službenoj mrežnoj stranici Vrtića</w:t>
      </w:r>
    </w:p>
    <w:p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Pismohrana</w:t>
      </w:r>
      <w:r>
        <w:rPr>
          <w:rFonts w:ascii="Arial" w:hAnsi="Arial" w:cs="Arial"/>
        </w:rPr>
        <w:t xml:space="preserve">, ovdje</w:t>
      </w:r>
    </w:p>
    <w:p>
      <w:pPr>
        <w:spacing w:after="0" w:line="276" w:lineRule="auto"/>
        <w:rPr>
          <w:rFonts w:ascii="Arial" w:hAnsi="Arial" w:cs="Arial"/>
          <w:b/>
        </w:rPr>
      </w:pPr>
    </w:p>
    <w:p>
      <w:pPr>
        <w:spacing w:after="0"/>
        <w:rPr>
          <w:rFonts w:ascii="Arial" w:hAnsi="Arial" w:cs="Arial"/>
        </w:rPr>
      </w:pPr>
    </w:p>
    <w:p>
      <w:pPr>
        <w:spacing w:after="0"/>
        <w:jc w:val="center"/>
        <w:rPr>
          <w:rFonts w:ascii="Arial" w:hAnsi="Arial" w:cs="Arial"/>
        </w:rPr>
      </w:pPr>
    </w:p>
    <w:sectPr>
      <w:headerReference w:type="default" r:id="rId3"/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center" w:pos="4536"/>
        <w:tab w:val="right" w:pos="9072"/>
      </w:tabs>
      <w:spacing w:after="0" w:line="240" w:lineRule="auto"/>
      <w:ind w:left="572" w:hanging="10"/>
      <w:jc w:val="right"/>
      <w:rPr>
        <w:rFonts w:ascii="Arial" w:hAnsi="Arial" w:eastAsia="Arial" w:cs="Arial"/>
        <w:color w:val="000000"/>
        <w:lang w:eastAsia="hr-HR"/>
      </w:rPr>
    </w:pPr>
  </w:p>
  <w:p>
    <w:pPr>
      <w:pStyle w:val="Zaglavlje"/>
      <w:spacing/>
      <w:jc w:val="righ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2220D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08D510B"/>
    <w:lvl w:ilvl="0">
      <w:start w:val="1"/>
      <w:numFmt w:val="decimal"/>
      <w:suff w:val="tab"/>
      <w:lvlText w:val="%1."/>
      <w:pPr>
        <w:spacing/>
        <w:ind w:left="644" w:hanging="360"/>
      </w:pPr>
      <w:rPr>
        <w:b/>
      </w:rPr>
    </w:lvl>
    <w:lvl w:ilvl="1">
      <w:start w:val="1"/>
      <w:numFmt w:val="lowerLetter"/>
      <w:suff w:val="tab"/>
      <w:lvlText w:val="%2."/>
      <w:pPr>
        <w:spacing/>
        <w:ind w:left="1364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084" w:hanging="180"/>
      </w:pPr>
      <w:rPr/>
    </w:lvl>
    <w:lvl w:ilvl="3">
      <w:start w:val="1"/>
      <w:numFmt w:val="decimal"/>
      <w:suff w:val="tab"/>
      <w:lvlText w:val="%4."/>
      <w:pPr>
        <w:spacing/>
        <w:ind w:left="2804" w:hanging="360"/>
      </w:pPr>
      <w:rPr/>
    </w:lvl>
    <w:lvl w:ilvl="4">
      <w:start w:val="1"/>
      <w:numFmt w:val="lowerLetter"/>
      <w:suff w:val="tab"/>
      <w:lvlText w:val="%5."/>
      <w:pPr>
        <w:spacing/>
        <w:ind w:left="3524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244" w:hanging="180"/>
      </w:pPr>
      <w:rPr/>
    </w:lvl>
    <w:lvl w:ilvl="6">
      <w:start w:val="1"/>
      <w:numFmt w:val="decimal"/>
      <w:suff w:val="tab"/>
      <w:lvlText w:val="%7."/>
      <w:pPr>
        <w:spacing/>
        <w:ind w:left="4964" w:hanging="360"/>
      </w:pPr>
      <w:rPr/>
    </w:lvl>
    <w:lvl w:ilvl="7">
      <w:start w:val="1"/>
      <w:numFmt w:val="lowerLetter"/>
      <w:suff w:val="tab"/>
      <w:lvlText w:val="%8."/>
      <w:pPr>
        <w:spacing/>
        <w:ind w:left="5684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04" w:hanging="180"/>
      </w:pPr>
      <w:rPr/>
    </w:lvl>
  </w:abstractNum>
  <w:abstractNum w:abstractNumId="2">
    <w:nsid w:val="49B3221E"/>
    <w:lvl w:ilvl="0">
      <w:start w:val="1"/>
      <w:numFmt w:val="decimal"/>
      <w:suff w:val="tab"/>
      <w:lvlText w:val="%1."/>
      <w:pPr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lowerLetter"/>
      <w:suff w:val="tab"/>
      <w:lvlText w:val="%2"/>
      <w:pPr>
        <w:spacing/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suff w:val="tab"/>
      <w:lvlText w:val="%3"/>
      <w:pPr>
        <w:spacing/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suff w:val="tab"/>
      <w:lvlText w:val="%4"/>
      <w:pPr>
        <w:spacing/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suff w:val="tab"/>
      <w:lvlText w:val="%5"/>
      <w:pPr>
        <w:spacing/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suff w:val="tab"/>
      <w:lvlText w:val="%6"/>
      <w:pPr>
        <w:spacing/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suff w:val="tab"/>
      <w:lvlText w:val="%7"/>
      <w:pPr>
        <w:spacing/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suff w:val="tab"/>
      <w:lvlText w:val="%8"/>
      <w:pPr>
        <w:spacing/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suff w:val="tab"/>
      <w:lvlText w:val="%9"/>
      <w:pPr>
        <w:spacing/>
        <w:ind w:left="64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cs="Segoe UI"/>
      <w:sz w:val="18"/>
      <w:szCs w:val="18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2" w:customStyle="1">
    <w:name w:val="Rešetka tablice2"/>
    <w:basedOn w:val="Obinatablica"/>
    <w:next w:val="Reetkatablice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table" w:styleId="Reetkatablice3" w:customStyle="1">
    <w:name w:val="Rešetka tablice3"/>
    <w:basedOn w:val="Obinatablica"/>
    <w:next w:val="Reetkatablice"/>
    <w:uiPriority w:val="39"/>
    <w:pPr>
      <w:spacing w:after="0" w:line="240" w:lineRule="auto"/>
    </w:pPr>
    <w:rPr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etkatablice11" w:customStyle="1">
    <w:name w:val="Rešetka tablice11"/>
    <w:basedOn w:val="Obinatablica"/>
    <w:next w:val="Reetkatablice"/>
    <w:uiPriority w:val="39"/>
    <w:pPr>
      <w:spacing w:after="0" w:line="240" w:lineRule="auto"/>
    </w:pPr>
    <w:rPr>
      <w:rFonts w:ascii="Calibri" w:hAnsi="Calibri" w:eastAsia="Calibri" w:cs="Times New Roman"/>
      <w:kern w:val="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3" Type="http://schemas.openxmlformats.org/officeDocument/2006/relationships/header" Target="header3.xml" /><Relationship Id="rId8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85</TotalTime>
  <Pages>2</Pages>
  <Words>861</Words>
  <Characters>4914</Characters>
  <Application>Microsoft Office Word</Application>
  <DocSecurity>0</DocSecurity>
  <Lines>40</Lines>
  <Paragraphs>11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PC</cp:lastModifiedBy>
  <cp:lastPrinted>2023-02-09T11:08:00Z</cp:lastPrinted>
  <cp:revision>35</cp:revision>
  <dcterms:created xsi:type="dcterms:W3CDTF">2026-07-08T11:20:00Z</dcterms:created>
  <dcterms:modified xsi:type="dcterms:W3CDTF">2026-09-21T10:50:00Z</dcterms:modified>
</cp:coreProperties>
</file>